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openEuler-logos</w:t>
      </w:r>
      <w:r>
        <w:rPr>
          <w:rStyle w:val="a0"/>
          <w:rFonts w:ascii="Consolas" w:hAnsi="Consolas"/>
          <w:sz w:val="18"/>
        </w:rPr>
        <w:t xml:space="preserve"> </w:t>
      </w:r>
      <w:r>
        <w:rPr>
          <w:rStyle w:val="a0"/>
          <w:rFonts w:ascii="Consolas" w:hAnsi="Consolas"/>
          <w:sz w:val="18"/>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1998 Hewlett-Packard Company desc sRGB IEC61966-2.1 sRGB IEC61966-2.1 XYZ IEC http://www.iec.ch IEC http://www.iec.ch desc .IEC 61966-2.1 Default RGB colour space - sRGB .IEC 61966-2.1 Default RGB colour space - sRGB desc ,Reference Viewing Condition in IEC61966-2.1</w:t>
      </w:r>
      <w:r>
        <w:rPr>
          <w:rStyle w:val="a0"/>
          <w:rFonts w:ascii="Consolas" w:hAnsi="Consolas"/>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Licensed only for approved usage</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